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5D6990">
      <w:pPr>
        <w:spacing w:before="0"/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5C3B95" w:rsidP="005C3B95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12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01-05 ARALIK 2025</w:t>
      </w:r>
    </w:p>
    <w:p w:rsidR="006A0241" w:rsidRPr="005D6990" w:rsidP="005C3B95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Uzun ve Kısa Süreler, İnce ve Kalın Sesler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*Halka Oyunu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Mü.4.B.4. Öğrendiği seslerin temel özelliklerini ayırt eder.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C3B95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eastAsiaTheme="minorHAnsi" w:cs="Tahoma"/>
                <w:color w:val="1B1B1A"/>
              </w:rPr>
              <w:t xml:space="preserve">(Sayfa 34) Notaların </w:t>
            </w:r>
            <w:r w:rsidRPr="005D6990">
              <w:rPr>
                <w:rFonts w:ascii="Tahoma" w:hAnsi="Tahoma" w:eastAsiaTheme="minorHAnsi" w:cs="Tahoma"/>
                <w:color w:val="1B1B1A"/>
              </w:rPr>
              <w:t>dizek</w:t>
            </w:r>
            <w:r w:rsidRPr="005D6990">
              <w:rPr>
                <w:rFonts w:ascii="Tahoma" w:hAnsi="Tahoma" w:eastAsiaTheme="minorHAnsi" w:cs="Tahoma"/>
                <w:color w:val="1B1B1A"/>
              </w:rPr>
              <w:t xml:space="preserve"> üzerinde diziliş sırasına uygun olarak kalın veya incelik durumları örneklerle anlatılır.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eastAsiaTheme="minorHAnsi" w:cs="Tahoma"/>
                <w:bCs/>
                <w:color w:val="1B1B1A"/>
              </w:rPr>
              <w:t>(Sayfa 34) Halka Oyunu Etkinliği yapılır.</w:t>
            </w:r>
          </w:p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Cs/>
                <w:color w:val="1B1B1A"/>
                <w:sz w:val="20"/>
                <w:szCs w:val="20"/>
              </w:rPr>
              <w:t>Yere yan yana 3 halka çizilir.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Ortadaki halkayı sol notası kabul edip halka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nın içine girilir. Öğretmenimizin çaldığı ya da ismini söylediği nota “sol” notasına göre daha kalınsa soldaki halkaya, inceyse sağdaki halkaya atlanır.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Öğrendiği seslerin (fa, sol, la), önce kısalık ve uzunluk, daha sonra ise incelik ve kalınlık özellikleri üzerinde durulmalıdır.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